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99673" w14:textId="51FF2AC1" w:rsidR="007B6FD8" w:rsidRPr="005A168E" w:rsidRDefault="00C1588D" w:rsidP="00BD48FD">
      <w:pPr>
        <w:pStyle w:val="Title"/>
        <w:rPr>
          <w:color w:val="156082" w:themeColor="accent1"/>
          <w:sz w:val="40"/>
          <w:szCs w:val="40"/>
        </w:rPr>
      </w:pPr>
      <w:r>
        <w:rPr>
          <w:noProof/>
          <w:color w:val="156082" w:themeColor="accent1"/>
          <w:sz w:val="48"/>
          <w:szCs w:val="48"/>
        </w:rPr>
        <mc:AlternateContent>
          <mc:Choice Requires="wps">
            <w:drawing>
              <wp:anchor distT="0" distB="0" distL="114300" distR="114300" simplePos="0" relativeHeight="251665408" behindDoc="1" locked="0" layoutInCell="1" allowOverlap="1" wp14:anchorId="0F75D0AC" wp14:editId="50E65AE6">
                <wp:simplePos x="0" y="0"/>
                <wp:positionH relativeFrom="margin">
                  <wp:align>center</wp:align>
                </wp:positionH>
                <wp:positionV relativeFrom="paragraph">
                  <wp:posOffset>-93980</wp:posOffset>
                </wp:positionV>
                <wp:extent cx="6648450" cy="8793480"/>
                <wp:effectExtent l="0" t="0" r="19050" b="26670"/>
                <wp:wrapNone/>
                <wp:docPr id="1010004704" name="Rectangle 4"/>
                <wp:cNvGraphicFramePr/>
                <a:graphic xmlns:a="http://schemas.openxmlformats.org/drawingml/2006/main">
                  <a:graphicData uri="http://schemas.microsoft.com/office/word/2010/wordprocessingShape">
                    <wps:wsp>
                      <wps:cNvSpPr/>
                      <wps:spPr>
                        <a:xfrm>
                          <a:off x="0" y="0"/>
                          <a:ext cx="6648450" cy="879348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C1312" id="Rectangle 4" o:spid="_x0000_s1026" style="position:absolute;margin-left:0;margin-top:-7.4pt;width:523.5pt;height:692.4pt;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" fillcolor="white [3201]" strokecolor="#156082 [3204]" strokeweight="1.5pt">
                <w10:wrap anchorx="margin"/>
              </v:rect>
            </w:pict>
          </mc:Fallback>
        </mc:AlternateContent>
      </w:r>
      <w:r w:rsidR="0026358E" w:rsidRPr="005A168E">
        <w:rPr>
          <w:color w:val="156082" w:themeColor="accent1"/>
          <w:sz w:val="40"/>
          <w:szCs w:val="40"/>
        </w:rPr>
        <w:t>High</w:t>
      </w:r>
      <w:r w:rsidR="000A51D0">
        <w:rPr>
          <w:color w:val="156082" w:themeColor="accent1"/>
          <w:sz w:val="40"/>
          <w:szCs w:val="40"/>
        </w:rPr>
        <w:t>land</w:t>
      </w:r>
      <w:r w:rsidR="00632F86">
        <w:rPr>
          <w:color w:val="156082" w:themeColor="accent1"/>
          <w:sz w:val="40"/>
          <w:szCs w:val="40"/>
        </w:rPr>
        <w:t xml:space="preserve"> Children’s Rights and Participation Group: Library of Voices</w:t>
      </w:r>
      <w:r w:rsidR="007B6FD8" w:rsidRPr="005A168E">
        <w:rPr>
          <w:color w:val="156082" w:themeColor="accent1"/>
          <w:sz w:val="40"/>
          <w:szCs w:val="40"/>
        </w:rPr>
        <w:t xml:space="preserve"> </w:t>
      </w:r>
    </w:p>
    <w:p w14:paraId="5F7D1A64" w14:textId="54450F9A" w:rsidR="00C73F55" w:rsidRDefault="00C1588D" w:rsidP="00C73F55">
      <w:r w:rsidRPr="00C1588D">
        <w:t xml:space="preserve">Highland Community Planning Partnership includes organisations working in Highland across every sector. Strategic governance of services for children is provided by an </w:t>
      </w:r>
      <w:hyperlink r:id="rId10" w:history="1">
        <w:r w:rsidRPr="00C1588D">
          <w:rPr>
            <w:rStyle w:val="Hyperlink"/>
          </w:rPr>
          <w:t>Integrated Children’s Service Board (ICSB).</w:t>
        </w:r>
      </w:hyperlink>
      <w:r w:rsidRPr="00C1588D">
        <w:t xml:space="preserve"> One of the delivery groups that sits under the ICSB is the </w:t>
      </w:r>
      <w:hyperlink r:id="rId11" w:history="1">
        <w:r w:rsidRPr="00E61527">
          <w:rPr>
            <w:rStyle w:val="Hyperlink"/>
          </w:rPr>
          <w:t>Children’s Rights and Participation Group</w:t>
        </w:r>
      </w:hyperlink>
      <w:r w:rsidRPr="00C1588D">
        <w:t>, chaired by Highland Council’s Principal Educational Psychologist.</w:t>
      </w:r>
    </w:p>
    <w:p w14:paraId="26C462D4" w14:textId="28326F8F" w:rsidR="00BD48FD" w:rsidRPr="005A168E" w:rsidRDefault="007B6FD8" w:rsidP="00BD48FD">
      <w:pPr>
        <w:pStyle w:val="Heading2"/>
        <w:rPr>
          <w:sz w:val="28"/>
          <w:szCs w:val="28"/>
        </w:rPr>
      </w:pPr>
      <w:r w:rsidRPr="005A168E">
        <w:rPr>
          <w:sz w:val="28"/>
          <w:szCs w:val="28"/>
        </w:rPr>
        <w:t xml:space="preserve">The issue or opportunity </w:t>
      </w:r>
    </w:p>
    <w:p w14:paraId="425C65FA" w14:textId="1197FC1D" w:rsidR="002F3FB5" w:rsidRDefault="00344C40" w:rsidP="00E61527">
      <w:hyperlink r:id="rId12" w:history="1">
        <w:r w:rsidR="00E61527" w:rsidRPr="00344C40">
          <w:rPr>
            <w:rStyle w:val="Hyperlink"/>
          </w:rPr>
          <w:t>Our Children and Young People’s Participation Strategy</w:t>
        </w:r>
      </w:hyperlink>
      <w:r w:rsidR="00E61527" w:rsidRPr="00E61527">
        <w:t xml:space="preserve"> was launched in August 2024 and is based on thematic analysis of consultation with over 800 children and young people aged three to 26 from across Highland. This yielded six key themes:</w:t>
      </w:r>
    </w:p>
    <w:p w14:paraId="7FCFF690" w14:textId="2B610B4F" w:rsidR="002F3FB5" w:rsidRDefault="002F3FB5" w:rsidP="002F3FB5">
      <w:pPr>
        <w:pStyle w:val="ListParagraph"/>
        <w:numPr>
          <w:ilvl w:val="0"/>
          <w:numId w:val="2"/>
        </w:numPr>
      </w:pPr>
      <w:r>
        <w:t>Ask us to be involved</w:t>
      </w:r>
    </w:p>
    <w:p w14:paraId="66B85CA8" w14:textId="419DBAF2" w:rsidR="002F3FB5" w:rsidRDefault="002F3FB5" w:rsidP="002F3FB5">
      <w:pPr>
        <w:pStyle w:val="ListParagraph"/>
        <w:numPr>
          <w:ilvl w:val="0"/>
          <w:numId w:val="2"/>
        </w:numPr>
      </w:pPr>
      <w:r>
        <w:t>Value and respect our views</w:t>
      </w:r>
    </w:p>
    <w:p w14:paraId="17D8FACB" w14:textId="77777777" w:rsidR="002F3FB5" w:rsidRDefault="002F3FB5" w:rsidP="002F3FB5">
      <w:pPr>
        <w:pStyle w:val="ListParagraph"/>
        <w:numPr>
          <w:ilvl w:val="0"/>
          <w:numId w:val="2"/>
        </w:numPr>
      </w:pPr>
      <w:r>
        <w:t>Provide support and safety</w:t>
      </w:r>
    </w:p>
    <w:p w14:paraId="70BD3D15" w14:textId="77777777" w:rsidR="002F3FB5" w:rsidRDefault="002F3FB5" w:rsidP="002F3FB5">
      <w:pPr>
        <w:pStyle w:val="ListParagraph"/>
        <w:numPr>
          <w:ilvl w:val="0"/>
          <w:numId w:val="2"/>
        </w:numPr>
      </w:pPr>
      <w:r>
        <w:t>Develop our confidence and skills</w:t>
      </w:r>
    </w:p>
    <w:p w14:paraId="27E59C45" w14:textId="747CEE21" w:rsidR="002F3FB5" w:rsidRDefault="002F3FB5" w:rsidP="002F3FB5">
      <w:pPr>
        <w:pStyle w:val="ListParagraph"/>
        <w:numPr>
          <w:ilvl w:val="0"/>
          <w:numId w:val="2"/>
        </w:numPr>
      </w:pPr>
      <w:r>
        <w:t>We have lots of views about our futures</w:t>
      </w:r>
    </w:p>
    <w:p w14:paraId="62FCA016" w14:textId="24207D34" w:rsidR="00BD48FD" w:rsidRDefault="002F3FB5" w:rsidP="002F3FB5">
      <w:pPr>
        <w:pStyle w:val="ListParagraph"/>
        <w:numPr>
          <w:ilvl w:val="0"/>
          <w:numId w:val="2"/>
        </w:numPr>
      </w:pPr>
      <w:r>
        <w:t>Together we can ALL make change</w:t>
      </w:r>
      <w:r w:rsidR="00C73F55" w:rsidRPr="00C73F55">
        <w:t xml:space="preserve"> </w:t>
      </w:r>
    </w:p>
    <w:p w14:paraId="2EC670F1" w14:textId="43942014" w:rsidR="00536602" w:rsidRDefault="00536602" w:rsidP="00536602">
      <w:r w:rsidRPr="00536602">
        <w:t xml:space="preserve">One of the main asks of the children and young people was that adults stop asking the same questions over and over and start doing something about the answers they already have. The </w:t>
      </w:r>
      <w:hyperlink r:id="rId13" w:history="1">
        <w:r w:rsidRPr="00C27BD0">
          <w:rPr>
            <w:rStyle w:val="Hyperlink"/>
          </w:rPr>
          <w:t>Library of Voices</w:t>
        </w:r>
      </w:hyperlink>
      <w:r w:rsidRPr="00536602">
        <w:t xml:space="preserve"> is one element of Highland’s plan to address this.</w:t>
      </w:r>
    </w:p>
    <w:p w14:paraId="07EE5CF5" w14:textId="77777777" w:rsidR="00536602" w:rsidRDefault="00536602" w:rsidP="00536602">
      <w:r w:rsidRPr="00536602">
        <w:t xml:space="preserve"> Across Highland, there are numerous organisations, teams and individuals who place participation at the heart of what they do. Children and young people regularly take part in surveys about matters that affect them, in consultations, in research, and in day-to-day participatory activity. What was missing, was a central place to share, celebrate, learn from and act upon these pieces of work. </w:t>
      </w:r>
    </w:p>
    <w:p w14:paraId="3110D634" w14:textId="0DE79290" w:rsidR="00536602" w:rsidRDefault="00536602" w:rsidP="00536602">
      <w:r w:rsidRPr="00536602">
        <w:t>Our implementation plan identified the need for a ‘repository’ that could be used to collate children’s voices. Just as important as collecting it, though, is sharing it more widely so that all organisations across the partnership could become part of their audience, and so that their voice could be utilised to influence decision making.</w:t>
      </w:r>
    </w:p>
    <w:p w14:paraId="7363071F" w14:textId="762E8272" w:rsidR="00BD48FD" w:rsidRPr="005A168E" w:rsidRDefault="007B6FD8" w:rsidP="00BD48FD">
      <w:pPr>
        <w:pStyle w:val="Heading2"/>
        <w:rPr>
          <w:sz w:val="28"/>
          <w:szCs w:val="28"/>
        </w:rPr>
      </w:pPr>
      <w:r w:rsidRPr="005A168E">
        <w:rPr>
          <w:sz w:val="28"/>
          <w:szCs w:val="28"/>
        </w:rPr>
        <w:t xml:space="preserve">What was done </w:t>
      </w:r>
    </w:p>
    <w:p w14:paraId="7658B042" w14:textId="4C585393" w:rsidR="002B5085" w:rsidRPr="001D3837" w:rsidRDefault="005C159D">
      <w:r w:rsidRPr="005C159D">
        <w:t xml:space="preserve">The Library of Voices was established to address children’s concerns that they are asked the same questions, but they do not see any change. Given our commitment within the Strategy to use the </w:t>
      </w:r>
      <w:hyperlink r:id="rId14" w:history="1">
        <w:r w:rsidRPr="00EA1873">
          <w:rPr>
            <w:rStyle w:val="Hyperlink"/>
          </w:rPr>
          <w:t>Lundy Model of Participation</w:t>
        </w:r>
      </w:hyperlink>
      <w:r w:rsidRPr="005C159D">
        <w:t>, it is our duty to ensure that Space, Voice, Audience and Influence are evident if we are to embed meaningful participation across our services.</w:t>
      </w:r>
      <w:r w:rsidR="004D1229" w:rsidRPr="00774BCD">
        <w:rPr>
          <w:noProof/>
          <w:sz w:val="28"/>
          <w:szCs w:val="28"/>
        </w:rPr>
        <w:drawing>
          <wp:anchor distT="0" distB="0" distL="114300" distR="114300" simplePos="0" relativeHeight="251671552" behindDoc="1" locked="0" layoutInCell="1" allowOverlap="1" wp14:anchorId="25123029" wp14:editId="156FFE07">
            <wp:simplePos x="0" y="0"/>
            <wp:positionH relativeFrom="column">
              <wp:posOffset>-771525</wp:posOffset>
            </wp:positionH>
            <wp:positionV relativeFrom="page">
              <wp:posOffset>1228725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8765065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p>
    <w:p w14:paraId="5AAD184B" w14:textId="6E310997" w:rsidR="00C751F4" w:rsidRDefault="00011FE5" w:rsidP="00011FE5">
      <w:r>
        <w:rPr>
          <w:noProof/>
        </w:rPr>
        <w:lastRenderedPageBreak/>
        <mc:AlternateContent>
          <mc:Choice Requires="wps">
            <w:drawing>
              <wp:anchor distT="0" distB="0" distL="114300" distR="114300" simplePos="0" relativeHeight="251673600" behindDoc="1" locked="0" layoutInCell="1" allowOverlap="1" wp14:anchorId="754AA06A" wp14:editId="01681BA0">
                <wp:simplePos x="0" y="0"/>
                <wp:positionH relativeFrom="margin">
                  <wp:posOffset>-91440</wp:posOffset>
                </wp:positionH>
                <wp:positionV relativeFrom="paragraph">
                  <wp:posOffset>699135</wp:posOffset>
                </wp:positionV>
                <wp:extent cx="5953125" cy="1028700"/>
                <wp:effectExtent l="0" t="0" r="28575" b="152400"/>
                <wp:wrapNone/>
                <wp:docPr id="1521626510" name="Speech Bubble: Rectangle with Corners Rounded 7"/>
                <wp:cNvGraphicFramePr/>
                <a:graphic xmlns:a="http://schemas.openxmlformats.org/drawingml/2006/main">
                  <a:graphicData uri="http://schemas.microsoft.com/office/word/2010/wordprocessingShape">
                    <wps:wsp>
                      <wps:cNvSpPr/>
                      <wps:spPr>
                        <a:xfrm>
                          <a:off x="0" y="0"/>
                          <a:ext cx="5953125" cy="1028700"/>
                        </a:xfrm>
                        <a:prstGeom prst="wedgeRoundRectCallout">
                          <a:avLst>
                            <a:gd name="adj1" fmla="val -37473"/>
                            <a:gd name="adj2" fmla="val 62500"/>
                            <a:gd name="adj3" fmla="val 16667"/>
                          </a:avLst>
                        </a:prstGeom>
                        <a:solidFill>
                          <a:schemeClr val="tx2">
                            <a:lumMod val="10000"/>
                            <a:lumOff val="90000"/>
                          </a:schemeClr>
                        </a:solid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B7E512" w14:textId="77777777" w:rsidR="008D0DE1" w:rsidRDefault="008D0DE1" w:rsidP="008D0D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4AA06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7" o:spid="_x0000_s1026" type="#_x0000_t62" style="position:absolute;margin-left:-7.2pt;margin-top:55.05pt;width:468.75pt;height:81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" adj="2706,24300" fillcolor="#dceaf7 [351]" strokecolor="#45b0e1 [1940]" strokeweight="1.5pt">
                <v:textbox>
                  <w:txbxContent>
                    <w:p w14:paraId="4FB7E512" w14:textId="77777777" w:rsidR="008D0DE1" w:rsidRDefault="008D0DE1" w:rsidP="008D0DE1">
                      <w:pPr>
                        <w:jc w:val="center"/>
                      </w:pPr>
                    </w:p>
                  </w:txbxContent>
                </v:textbox>
                <w10:wrap anchorx="margin"/>
              </v:shape>
            </w:pict>
          </mc:Fallback>
        </mc:AlternateContent>
      </w:r>
      <w:r w:rsidR="001D3837">
        <w:rPr>
          <w:noProof/>
          <w:color w:val="156082" w:themeColor="accent1"/>
          <w:sz w:val="48"/>
          <w:szCs w:val="48"/>
        </w:rPr>
        <mc:AlternateContent>
          <mc:Choice Requires="wps">
            <w:drawing>
              <wp:anchor distT="0" distB="0" distL="114300" distR="114300" simplePos="0" relativeHeight="251663360" behindDoc="1" locked="0" layoutInCell="1" allowOverlap="1" wp14:anchorId="5D8FF62B" wp14:editId="1E1CD7DB">
                <wp:simplePos x="0" y="0"/>
                <wp:positionH relativeFrom="margin">
                  <wp:align>center</wp:align>
                </wp:positionH>
                <wp:positionV relativeFrom="paragraph">
                  <wp:posOffset>-95250</wp:posOffset>
                </wp:positionV>
                <wp:extent cx="6648450" cy="8772525"/>
                <wp:effectExtent l="0" t="0" r="19050" b="28575"/>
                <wp:wrapNone/>
                <wp:docPr id="1798888032" name="Rectangle 4"/>
                <wp:cNvGraphicFramePr/>
                <a:graphic xmlns:a="http://schemas.openxmlformats.org/drawingml/2006/main">
                  <a:graphicData uri="http://schemas.microsoft.com/office/word/2010/wordprocessingShape">
                    <wps:wsp>
                      <wps:cNvSpPr/>
                      <wps:spPr>
                        <a:xfrm>
                          <a:off x="0" y="0"/>
                          <a:ext cx="6648450" cy="877252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865EB" id="Rectangle 4" o:spid="_x0000_s1026" style="position:absolute;margin-left:0;margin-top:-7.5pt;width:523.5pt;height:690.7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" fillcolor="white [3201]" strokecolor="#156082 [3204]" strokeweight="1.5pt">
                <w10:wrap anchorx="margin"/>
              </v:rect>
            </w:pict>
          </mc:Fallback>
        </mc:AlternateContent>
      </w:r>
      <w:r w:rsidR="001D3837" w:rsidRPr="001D3837">
        <w:t>In the consultation for the strategy, children were asked ‘how adults can make sure everyone’s voice is heard’. Children talked in depth about the role of adults to let them know they are listening.</w:t>
      </w:r>
    </w:p>
    <w:p w14:paraId="6F39EE54" w14:textId="5E8D47C5" w:rsidR="00C751F4" w:rsidRDefault="00C751F4" w:rsidP="00C751F4">
      <w:pPr>
        <w:tabs>
          <w:tab w:val="left" w:pos="1476"/>
        </w:tabs>
      </w:pPr>
      <w:r w:rsidRPr="00C751F4">
        <w:t xml:space="preserve">“Adults who really listen and who are listened to by the people who make the decisions.” </w:t>
      </w:r>
    </w:p>
    <w:p w14:paraId="3E86AD6C" w14:textId="3D89EC45" w:rsidR="008D0DE1" w:rsidRDefault="00C751F4" w:rsidP="00C751F4">
      <w:pPr>
        <w:tabs>
          <w:tab w:val="left" w:pos="1476"/>
        </w:tabs>
      </w:pPr>
      <w:r w:rsidRPr="00C751F4">
        <w:t xml:space="preserve">“It can cost millions for an organisation to change a system, but it costs them nothing to change a culture and actively listen.” </w:t>
      </w:r>
      <w:r w:rsidRPr="00011FE5">
        <w:rPr>
          <w:b/>
          <w:bCs/>
        </w:rPr>
        <w:t>Child participants</w:t>
      </w:r>
    </w:p>
    <w:p w14:paraId="00EDB060" w14:textId="77777777" w:rsidR="008D0DE1" w:rsidRDefault="008D0DE1" w:rsidP="008D0DE1"/>
    <w:p w14:paraId="4C474C00" w14:textId="77777777" w:rsidR="009B2C97" w:rsidRDefault="00F91C10" w:rsidP="008D0DE1">
      <w:r w:rsidRPr="00F91C10">
        <w:t xml:space="preserve">We developed a </w:t>
      </w:r>
      <w:hyperlink r:id="rId16" w:anchor="h.fwpg287bmk22" w:history="1">
        <w:r w:rsidRPr="00F91C10">
          <w:rPr>
            <w:rStyle w:val="Hyperlink"/>
          </w:rPr>
          <w:t>Microsoft Form</w:t>
        </w:r>
      </w:hyperlink>
      <w:r w:rsidRPr="00F91C10">
        <w:t xml:space="preserve"> that requests that practitioners reflect on how each of Lundy’s four concepts have been fully addressed. The form provides branching scenarios, based on the type of participatory work the practitioner is reporting.</w:t>
      </w:r>
    </w:p>
    <w:p w14:paraId="683F333B" w14:textId="663B814D" w:rsidR="008D0DE1" w:rsidRDefault="00F91C10" w:rsidP="008D0DE1">
      <w:r w:rsidRPr="00F91C10">
        <w:t>Practitioners are asked to share how many children were involved in the work, their age bracket, which area of Highland the participation took place in and what change has occurred as a result,</w:t>
      </w:r>
      <w:r w:rsidR="009B2C97">
        <w:t xml:space="preserve"> </w:t>
      </w:r>
      <w:r w:rsidR="009B2C97" w:rsidRPr="009B2C97">
        <w:t>amongst other questions. The form seeks to coach practitioners through the expectations set out in the strategy, in line with the Lundy Model as well as to capture detail about the good practice happening across Highland.</w:t>
      </w:r>
    </w:p>
    <w:p w14:paraId="070216F5" w14:textId="5ECFB7C6" w:rsidR="009B2C97" w:rsidRDefault="009B2C97" w:rsidP="008D0DE1">
      <w:r w:rsidRPr="009B2C97">
        <w:t xml:space="preserve">The form is accessed via our </w:t>
      </w:r>
      <w:hyperlink r:id="rId17" w:history="1">
        <w:r w:rsidRPr="009B2C97">
          <w:rPr>
            <w:rStyle w:val="Hyperlink"/>
          </w:rPr>
          <w:t>Children’s Rights and Participation website</w:t>
        </w:r>
      </w:hyperlink>
      <w:r w:rsidRPr="009B2C97">
        <w:t>. On the same page, summaries of the entries to the Library of Voices are shared back out, with contact details for the practitioners who have shared their work. This supports collaboration across Highland, as practitioners reach out to hear more about one another’s work.</w:t>
      </w:r>
    </w:p>
    <w:p w14:paraId="37429B7A" w14:textId="2F4743FC" w:rsidR="00364B02" w:rsidRPr="008D0DE1" w:rsidRDefault="00364B02" w:rsidP="008D0DE1">
      <w:r w:rsidRPr="00364B02">
        <w:t xml:space="preserve">The Library of Voices is embedded in our </w:t>
      </w:r>
      <w:hyperlink r:id="rId18" w:anchor="h.sqkw8beocp4p" w:history="1">
        <w:r w:rsidRPr="00364B02">
          <w:rPr>
            <w:rStyle w:val="Hyperlink"/>
          </w:rPr>
          <w:t>Voice Process</w:t>
        </w:r>
      </w:hyperlink>
      <w:r w:rsidRPr="00364B02">
        <w:t xml:space="preserve">, and our </w:t>
      </w:r>
      <w:hyperlink r:id="rId19" w:anchor="h.4nlgri3vtov" w:history="1">
        <w:r w:rsidRPr="00364B02">
          <w:rPr>
            <w:rStyle w:val="Hyperlink"/>
          </w:rPr>
          <w:t>Involving Children and Young People in Decisions that Affect Them resource.</w:t>
        </w:r>
      </w:hyperlink>
      <w:r w:rsidRPr="00364B02">
        <w:t xml:space="preserve"> Within these resources it is cited as a place to review whether children and young people have already answered questions, and as a place to ensure Audience and Influence, particularly when paired with the Integrated Children’s Services Board Voice Process.</w:t>
      </w:r>
    </w:p>
    <w:p w14:paraId="4432CA6F" w14:textId="200508BF" w:rsidR="00BD48FD" w:rsidRPr="005A168E" w:rsidRDefault="00364B02" w:rsidP="00BD48FD">
      <w:pPr>
        <w:pStyle w:val="Heading2"/>
        <w:rPr>
          <w:sz w:val="28"/>
          <w:szCs w:val="28"/>
        </w:rPr>
      </w:pPr>
      <w:r>
        <w:rPr>
          <w:sz w:val="28"/>
          <w:szCs w:val="28"/>
        </w:rPr>
        <w:t>Next steps</w:t>
      </w:r>
      <w:r w:rsidR="007B6FD8" w:rsidRPr="005A168E">
        <w:rPr>
          <w:sz w:val="28"/>
          <w:szCs w:val="28"/>
        </w:rPr>
        <w:t xml:space="preserve"> </w:t>
      </w:r>
    </w:p>
    <w:p w14:paraId="64EC5AB4" w14:textId="36E7384B" w:rsidR="00311AE7" w:rsidRPr="00311AE7" w:rsidRDefault="00311AE7" w:rsidP="00311AE7">
      <w:r w:rsidRPr="00311AE7">
        <w:t>Work continues to encourage people to see the Library as ‘just part of the day job’ and not an added extra in already stretched workloads. The introduction of the comprehensive suite of resources provides the wider context and has already been successful in demonstrating to practitioners across Highland how the library fits into the bigger picture. We will continue working to embed it, alongside other implementation work. The investment will have proved worthwhile when children tell us that they feel that they have been listened to and that their voices have influenced decisions that they can see and feel the impact of.</w:t>
      </w:r>
    </w:p>
    <w:p w14:paraId="72A1F0CC" w14:textId="163E0902" w:rsidR="00BD48FD" w:rsidRPr="00311AE7" w:rsidRDefault="00311AE7" w:rsidP="00311AE7">
      <w:pPr>
        <w:pStyle w:val="Heading2"/>
        <w:rPr>
          <w:sz w:val="28"/>
          <w:szCs w:val="28"/>
        </w:rPr>
      </w:pPr>
      <w:r w:rsidRPr="00311AE7">
        <w:rPr>
          <w:noProof/>
          <w:color w:val="156082" w:themeColor="accent1"/>
          <w:sz w:val="44"/>
          <w:szCs w:val="44"/>
        </w:rPr>
        <w:lastRenderedPageBreak/>
        <mc:AlternateContent>
          <mc:Choice Requires="wps">
            <w:drawing>
              <wp:anchor distT="0" distB="0" distL="114300" distR="114300" simplePos="0" relativeHeight="251661312" behindDoc="1" locked="0" layoutInCell="1" allowOverlap="1" wp14:anchorId="7D9BF722" wp14:editId="44404A92">
                <wp:simplePos x="0" y="0"/>
                <wp:positionH relativeFrom="margin">
                  <wp:align>center</wp:align>
                </wp:positionH>
                <wp:positionV relativeFrom="paragraph">
                  <wp:posOffset>-91440</wp:posOffset>
                </wp:positionV>
                <wp:extent cx="6648450" cy="8829675"/>
                <wp:effectExtent l="0" t="0" r="19050" b="28575"/>
                <wp:wrapNone/>
                <wp:docPr id="2074646161" name="Rectangle 4"/>
                <wp:cNvGraphicFramePr/>
                <a:graphic xmlns:a="http://schemas.openxmlformats.org/drawingml/2006/main">
                  <a:graphicData uri="http://schemas.microsoft.com/office/word/2010/wordprocessingShape">
                    <wps:wsp>
                      <wps:cNvSpPr/>
                      <wps:spPr>
                        <a:xfrm>
                          <a:off x="0" y="0"/>
                          <a:ext cx="6648450" cy="88296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383C3" id="Rectangle 4" o:spid="_x0000_s1026" style="position:absolute;margin-left:0;margin-top:-7.2pt;width:523.5pt;height:695.2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" fillcolor="white [3201]" strokecolor="#156082 [3204]" strokeweight="1.5pt">
                <w10:wrap anchorx="margin"/>
              </v:rect>
            </w:pict>
          </mc:Fallback>
        </mc:AlternateContent>
      </w:r>
      <w:r w:rsidR="004D1229" w:rsidRPr="00311AE7">
        <w:rPr>
          <w:rFonts w:asciiTheme="minorHAnsi" w:hAnsiTheme="minorHAnsi" w:cstheme="minorBidi"/>
          <w:noProof/>
          <w:sz w:val="28"/>
          <w:szCs w:val="28"/>
        </w:rPr>
        <w:drawing>
          <wp:anchor distT="0" distB="0" distL="114300" distR="114300" simplePos="0" relativeHeight="251669504" behindDoc="1" locked="0" layoutInCell="1" allowOverlap="1" wp14:anchorId="742CD9EC" wp14:editId="099B1423">
            <wp:simplePos x="0" y="0"/>
            <wp:positionH relativeFrom="column">
              <wp:posOffset>-762000</wp:posOffset>
            </wp:positionH>
            <wp:positionV relativeFrom="page">
              <wp:posOffset>1162050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4314503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7B6FD8" w:rsidRPr="00311AE7">
        <w:rPr>
          <w:sz w:val="28"/>
          <w:szCs w:val="28"/>
        </w:rPr>
        <w:t>Children’s</w:t>
      </w:r>
      <w:r w:rsidR="007B6FD8" w:rsidRPr="005A168E">
        <w:t xml:space="preserve"> </w:t>
      </w:r>
      <w:r w:rsidR="007B6FD8" w:rsidRPr="00311AE7">
        <w:rPr>
          <w:sz w:val="28"/>
          <w:szCs w:val="28"/>
        </w:rPr>
        <w:t xml:space="preserve">human rights approach principles in practice </w:t>
      </w:r>
    </w:p>
    <w:p w14:paraId="73D6A615" w14:textId="080C546A" w:rsidR="000B2127" w:rsidRDefault="00B13E9F" w:rsidP="00B13E9F">
      <w:r w:rsidRPr="00B13E9F">
        <w:t>The Library of Voices is part of a wider suite of resources that support accountability to children. Children can access the Library and see that their work has been shared, and how it has been taken forward to influence the decisions that affect them. Gathering data in this way allows us to identify gaps in coverage by age or locality and to consider next steps to address this. By analysing the topics covered over time, we have a way of monitoring across the community partnership where there are gaps in the implementation of children’s rights and the remedies put in place. The process deepens approaches to participation since, for example it supports practitioners to stop asking children the same questions in repeated consultations where the results of previous work have led to change. Further, work is only shared in the Library if it has demonstrated that it involved all aspects of the Lundy model, setting a standard for quality and reach of participation.</w:t>
      </w:r>
    </w:p>
    <w:sectPr w:rsidR="000B2127">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E0C54" w14:textId="77777777" w:rsidR="00337ABA" w:rsidRDefault="00337ABA" w:rsidP="005A168E">
      <w:pPr>
        <w:spacing w:after="0" w:line="240" w:lineRule="auto"/>
      </w:pPr>
      <w:r>
        <w:separator/>
      </w:r>
    </w:p>
  </w:endnote>
  <w:endnote w:type="continuationSeparator" w:id="0">
    <w:p w14:paraId="0450AEBD" w14:textId="77777777" w:rsidR="00337ABA" w:rsidRDefault="00337ABA" w:rsidP="005A1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B580" w14:textId="77777777" w:rsidR="00D67336" w:rsidRDefault="00D67336" w:rsidP="00D67336">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Registered Office:</w:t>
    </w:r>
  </w:p>
  <w:p w14:paraId="3B23A872" w14:textId="77777777" w:rsidR="00D67336" w:rsidRPr="00A231AA" w:rsidRDefault="00D67336" w:rsidP="00D67336">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 xml:space="preserve">Together </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Scottish Alliance for Children’s Rights</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 xml:space="preserve">, </w:t>
    </w:r>
    <w:r>
      <w:rPr>
        <w:rFonts w:ascii="Calibri" w:hAnsi="Calibri"/>
        <w:color w:val="A6A6A6" w:themeColor="background1" w:themeShade="A6"/>
        <w:sz w:val="18"/>
        <w:szCs w:val="18"/>
      </w:rPr>
      <w:t>The Melting Pot, 15 Calton Road, Edinburgh, EH8 8DL</w:t>
    </w:r>
  </w:p>
  <w:p w14:paraId="642C6BD3" w14:textId="6201F90D" w:rsidR="005A168E" w:rsidRDefault="00D67336" w:rsidP="00D67336">
    <w:pPr>
      <w:pStyle w:val="Footer"/>
      <w:jc w:val="center"/>
    </w:pPr>
    <w:r w:rsidRPr="004A2026">
      <w:rPr>
        <w:rFonts w:ascii="Calibri" w:hAnsi="Calibri"/>
        <w:color w:val="A6A6A6" w:themeColor="background1" w:themeShade="A6"/>
        <w:sz w:val="18"/>
        <w:szCs w:val="18"/>
      </w:rPr>
      <w:t xml:space="preserve">Scottish Charitable Incorporated Organisation </w:t>
    </w:r>
    <w:r>
      <w:rPr>
        <w:rFonts w:ascii="Calibri" w:hAnsi="Calibri"/>
        <w:color w:val="A6A6A6" w:themeColor="background1" w:themeShade="A6"/>
        <w:sz w:val="18"/>
        <w:szCs w:val="18"/>
      </w:rPr>
      <w:t xml:space="preserve">(SCIO), </w:t>
    </w:r>
    <w:r w:rsidRPr="00A231AA">
      <w:rPr>
        <w:rFonts w:ascii="Calibri" w:hAnsi="Calibri"/>
        <w:color w:val="A6A6A6" w:themeColor="background1" w:themeShade="A6"/>
        <w:sz w:val="18"/>
        <w:szCs w:val="18"/>
      </w:rPr>
      <w:t>Charity Reg No. SC</w:t>
    </w:r>
    <w:r>
      <w:rPr>
        <w:rFonts w:ascii="Calibri" w:hAnsi="Calibri"/>
        <w:color w:val="A6A6A6" w:themeColor="background1" w:themeShade="A6"/>
        <w:sz w:val="18"/>
        <w:szCs w:val="18"/>
      </w:rPr>
      <w:t>0</w:t>
    </w:r>
    <w:r w:rsidRPr="00A231AA">
      <w:rPr>
        <w:rFonts w:ascii="Calibri" w:hAnsi="Calibri"/>
        <w:color w:val="A6A6A6" w:themeColor="background1" w:themeShade="A6"/>
        <w:sz w:val="18"/>
        <w:szCs w:val="18"/>
      </w:rPr>
      <w:t>29403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86EDE" w14:textId="77777777" w:rsidR="00337ABA" w:rsidRDefault="00337ABA" w:rsidP="005A168E">
      <w:pPr>
        <w:spacing w:after="0" w:line="240" w:lineRule="auto"/>
      </w:pPr>
      <w:r>
        <w:separator/>
      </w:r>
    </w:p>
  </w:footnote>
  <w:footnote w:type="continuationSeparator" w:id="0">
    <w:p w14:paraId="1092A144" w14:textId="77777777" w:rsidR="00337ABA" w:rsidRDefault="00337ABA" w:rsidP="005A16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843D3" w14:textId="5950D74E" w:rsidR="00F51E15" w:rsidRDefault="00F51E15" w:rsidP="00F51E15">
    <w:pPr>
      <w:pStyle w:val="Header"/>
    </w:pPr>
    <w:r>
      <w:rPr>
        <w:noProof/>
      </w:rPr>
      <w:drawing>
        <wp:anchor distT="0" distB="0" distL="114300" distR="114300" simplePos="0" relativeHeight="251659264" behindDoc="1" locked="0" layoutInCell="1" allowOverlap="1" wp14:anchorId="736E7399" wp14:editId="6F55A246">
          <wp:simplePos x="0" y="0"/>
          <wp:positionH relativeFrom="column">
            <wp:posOffset>5533390</wp:posOffset>
          </wp:positionH>
          <wp:positionV relativeFrom="paragraph">
            <wp:posOffset>-306705</wp:posOffset>
          </wp:positionV>
          <wp:extent cx="768985" cy="768985"/>
          <wp:effectExtent l="0" t="0" r="0" b="0"/>
          <wp:wrapTight wrapText="bothSides">
            <wp:wrapPolygon edited="0">
              <wp:start x="0" y="0"/>
              <wp:lineTo x="0" y="20869"/>
              <wp:lineTo x="20869" y="20869"/>
              <wp:lineTo x="20869" y="0"/>
              <wp:lineTo x="0" y="0"/>
            </wp:wrapPolygon>
          </wp:wrapTight>
          <wp:docPr id="330555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55200" name="Picture 330555200"/>
                  <pic:cNvPicPr/>
                </pic:nvPicPr>
                <pic:blipFill>
                  <a:blip r:embed="rId1">
                    <a:extLst>
                      <a:ext uri="{28A0092B-C50C-407E-A947-70E740481C1C}">
                        <a14:useLocalDpi xmlns:a14="http://schemas.microsoft.com/office/drawing/2010/main" val="0"/>
                      </a:ext>
                    </a:extLst>
                  </a:blip>
                  <a:stretch>
                    <a:fillRect/>
                  </a:stretch>
                </pic:blipFill>
                <pic:spPr>
                  <a:xfrm>
                    <a:off x="0" y="0"/>
                    <a:ext cx="768985" cy="768985"/>
                  </a:xfrm>
                  <a:prstGeom prst="rect">
                    <a:avLst/>
                  </a:prstGeom>
                </pic:spPr>
              </pic:pic>
            </a:graphicData>
          </a:graphic>
          <wp14:sizeRelH relativeFrom="margin">
            <wp14:pctWidth>0</wp14:pctWidth>
          </wp14:sizeRelH>
          <wp14:sizeRelV relativeFrom="margin">
            <wp14:pctHeight>0</wp14:pctHeight>
          </wp14:sizeRelV>
        </wp:anchor>
      </w:drawing>
    </w:r>
    <w:r w:rsidRPr="00913BCA">
      <w:t xml:space="preserve">This case study comes from Together (Scottish Alliance for Children’s Rights) 2026 </w:t>
    </w:r>
  </w:p>
  <w:p w14:paraId="20ACB955" w14:textId="1728E2B5" w:rsidR="005A168E" w:rsidRDefault="5A0993F5" w:rsidP="00F51E15">
    <w:pPr>
      <w:pStyle w:val="Header"/>
      <w:tabs>
        <w:tab w:val="clear" w:pos="4513"/>
        <w:tab w:val="clear" w:pos="9026"/>
        <w:tab w:val="left" w:pos="5700"/>
      </w:tabs>
    </w:pPr>
    <w:hyperlink r:id="rId2">
      <w:r w:rsidRPr="5A0993F5">
        <w:rPr>
          <w:rStyle w:val="Hyperlink"/>
        </w:rPr>
        <w:t>State of Children’s Rights Report</w:t>
      </w:r>
    </w:hyperlink>
    <w:r w:rsidR="00F51E15">
      <w:tab/>
    </w:r>
  </w:p>
  <w:p w14:paraId="35A4149D" w14:textId="77777777" w:rsidR="005A168E" w:rsidRDefault="005A16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95470"/>
    <w:multiLevelType w:val="hybridMultilevel"/>
    <w:tmpl w:val="067E8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5E5AA8"/>
    <w:multiLevelType w:val="hybridMultilevel"/>
    <w:tmpl w:val="2FA8A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0019410">
    <w:abstractNumId w:val="1"/>
  </w:num>
  <w:num w:numId="2" w16cid:durableId="2067559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D4"/>
    <w:rsid w:val="00011FE5"/>
    <w:rsid w:val="00037947"/>
    <w:rsid w:val="000A51D0"/>
    <w:rsid w:val="000B2127"/>
    <w:rsid w:val="001D3837"/>
    <w:rsid w:val="00213648"/>
    <w:rsid w:val="0026358E"/>
    <w:rsid w:val="002B5085"/>
    <w:rsid w:val="002F3FB5"/>
    <w:rsid w:val="00311AE7"/>
    <w:rsid w:val="00337ABA"/>
    <w:rsid w:val="00344C40"/>
    <w:rsid w:val="00364B02"/>
    <w:rsid w:val="003845FE"/>
    <w:rsid w:val="004D1229"/>
    <w:rsid w:val="00536602"/>
    <w:rsid w:val="005752B2"/>
    <w:rsid w:val="005A168E"/>
    <w:rsid w:val="005C159D"/>
    <w:rsid w:val="00632F86"/>
    <w:rsid w:val="00645396"/>
    <w:rsid w:val="006C633D"/>
    <w:rsid w:val="0075002C"/>
    <w:rsid w:val="007B6FD8"/>
    <w:rsid w:val="00813D77"/>
    <w:rsid w:val="008D0DE1"/>
    <w:rsid w:val="009B2C97"/>
    <w:rsid w:val="00A35C58"/>
    <w:rsid w:val="00AC63E7"/>
    <w:rsid w:val="00AE1BD4"/>
    <w:rsid w:val="00B03204"/>
    <w:rsid w:val="00B13E9F"/>
    <w:rsid w:val="00B319A1"/>
    <w:rsid w:val="00BD48FD"/>
    <w:rsid w:val="00C1588D"/>
    <w:rsid w:val="00C253B6"/>
    <w:rsid w:val="00C27BD0"/>
    <w:rsid w:val="00C57CB5"/>
    <w:rsid w:val="00C643D6"/>
    <w:rsid w:val="00C73F55"/>
    <w:rsid w:val="00C751F4"/>
    <w:rsid w:val="00C95518"/>
    <w:rsid w:val="00D67336"/>
    <w:rsid w:val="00E343C9"/>
    <w:rsid w:val="00E61527"/>
    <w:rsid w:val="00EA1873"/>
    <w:rsid w:val="00F363A3"/>
    <w:rsid w:val="00F51E15"/>
    <w:rsid w:val="00F91C10"/>
    <w:rsid w:val="313850AC"/>
    <w:rsid w:val="5A0993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2F03"/>
  <w15:chartTrackingRefBased/>
  <w15:docId w15:val="{D031D121-2E7E-4C47-8B2A-C5448F58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B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1B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B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1B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B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B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B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B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B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B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BD4"/>
    <w:rPr>
      <w:rFonts w:eastAsiaTheme="majorEastAsia" w:cstheme="majorBidi"/>
      <w:color w:val="272727" w:themeColor="text1" w:themeTint="D8"/>
    </w:rPr>
  </w:style>
  <w:style w:type="paragraph" w:styleId="Title">
    <w:name w:val="Title"/>
    <w:basedOn w:val="Normal"/>
    <w:next w:val="Normal"/>
    <w:link w:val="TitleChar"/>
    <w:uiPriority w:val="10"/>
    <w:qFormat/>
    <w:rsid w:val="00AE1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B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BD4"/>
    <w:pPr>
      <w:spacing w:before="160"/>
      <w:jc w:val="center"/>
    </w:pPr>
    <w:rPr>
      <w:i/>
      <w:iCs/>
      <w:color w:val="404040" w:themeColor="text1" w:themeTint="BF"/>
    </w:rPr>
  </w:style>
  <w:style w:type="character" w:customStyle="1" w:styleId="QuoteChar">
    <w:name w:val="Quote Char"/>
    <w:basedOn w:val="DefaultParagraphFont"/>
    <w:link w:val="Quote"/>
    <w:uiPriority w:val="29"/>
    <w:rsid w:val="00AE1BD4"/>
    <w:rPr>
      <w:i/>
      <w:iCs/>
      <w:color w:val="404040" w:themeColor="text1" w:themeTint="BF"/>
    </w:rPr>
  </w:style>
  <w:style w:type="paragraph" w:styleId="ListParagraph">
    <w:name w:val="List Paragraph"/>
    <w:basedOn w:val="Normal"/>
    <w:uiPriority w:val="34"/>
    <w:qFormat/>
    <w:rsid w:val="00AE1BD4"/>
    <w:pPr>
      <w:ind w:left="720"/>
      <w:contextualSpacing/>
    </w:pPr>
  </w:style>
  <w:style w:type="character" w:styleId="IntenseEmphasis">
    <w:name w:val="Intense Emphasis"/>
    <w:basedOn w:val="DefaultParagraphFont"/>
    <w:uiPriority w:val="21"/>
    <w:qFormat/>
    <w:rsid w:val="00AE1BD4"/>
    <w:rPr>
      <w:i/>
      <w:iCs/>
      <w:color w:val="0F4761" w:themeColor="accent1" w:themeShade="BF"/>
    </w:rPr>
  </w:style>
  <w:style w:type="paragraph" w:styleId="IntenseQuote">
    <w:name w:val="Intense Quote"/>
    <w:basedOn w:val="Normal"/>
    <w:next w:val="Normal"/>
    <w:link w:val="IntenseQuoteChar"/>
    <w:uiPriority w:val="30"/>
    <w:qFormat/>
    <w:rsid w:val="00AE1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BD4"/>
    <w:rPr>
      <w:i/>
      <w:iCs/>
      <w:color w:val="0F4761" w:themeColor="accent1" w:themeShade="BF"/>
    </w:rPr>
  </w:style>
  <w:style w:type="character" w:styleId="IntenseReference">
    <w:name w:val="Intense Reference"/>
    <w:basedOn w:val="DefaultParagraphFont"/>
    <w:uiPriority w:val="32"/>
    <w:qFormat/>
    <w:rsid w:val="00AE1BD4"/>
    <w:rPr>
      <w:b/>
      <w:bCs/>
      <w:smallCaps/>
      <w:color w:val="0F4761" w:themeColor="accent1" w:themeShade="BF"/>
      <w:spacing w:val="5"/>
    </w:rPr>
  </w:style>
  <w:style w:type="paragraph" w:styleId="Header">
    <w:name w:val="header"/>
    <w:basedOn w:val="Normal"/>
    <w:link w:val="HeaderChar"/>
    <w:uiPriority w:val="99"/>
    <w:unhideWhenUsed/>
    <w:rsid w:val="005A16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68E"/>
  </w:style>
  <w:style w:type="paragraph" w:styleId="Footer">
    <w:name w:val="footer"/>
    <w:basedOn w:val="Normal"/>
    <w:link w:val="FooterChar"/>
    <w:uiPriority w:val="99"/>
    <w:unhideWhenUsed/>
    <w:rsid w:val="005A16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68E"/>
  </w:style>
  <w:style w:type="character" w:styleId="Hyperlink">
    <w:name w:val="Hyperlink"/>
    <w:basedOn w:val="DefaultParagraphFont"/>
    <w:uiPriority w:val="99"/>
    <w:unhideWhenUsed/>
    <w:rsid w:val="00F51E15"/>
    <w:rPr>
      <w:color w:val="467886" w:themeColor="hyperlink"/>
      <w:u w:val="single"/>
    </w:rPr>
  </w:style>
  <w:style w:type="character" w:styleId="UnresolvedMention">
    <w:name w:val="Unresolved Mention"/>
    <w:basedOn w:val="DefaultParagraphFont"/>
    <w:uiPriority w:val="99"/>
    <w:semiHidden/>
    <w:unhideWhenUsed/>
    <w:rsid w:val="00C158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hildrensrightshighland.co.uk/library-of-voices" TargetMode="External"/><Relationship Id="rId18" Type="http://schemas.openxmlformats.org/officeDocument/2006/relationships/hyperlink" Target="https://www.childrensrightshighland.co.uk/highland-childrens-services-plan-2023-2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hildrensrightshighland.co.uk/children-young-peoples-participation-strategy" TargetMode="External"/><Relationship Id="rId17" Type="http://schemas.openxmlformats.org/officeDocument/2006/relationships/hyperlink" Target="https://www.childrensrightshighland.co.uk/home" TargetMode="External"/><Relationship Id="rId2" Type="http://schemas.openxmlformats.org/officeDocument/2006/relationships/customXml" Target="../customXml/item2.xml"/><Relationship Id="rId16" Type="http://schemas.openxmlformats.org/officeDocument/2006/relationships/hyperlink" Target="https://www.childrensrightshighland.co.uk/library-of-voic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hildrensrightshighland.co.uk/childrens-rights-and-participation-improvement-group" TargetMode="External"/><Relationship Id="rId5"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yperlink" Target="https://www.childrensrightshighland.co.uk/highland-childrens-services-plan-2023-26" TargetMode="External"/><Relationship Id="rId19" Type="http://schemas.openxmlformats.org/officeDocument/2006/relationships/hyperlink" Target="https://www.childrensrightshighland.co.uk/children-young-peoples-participation-strategy/highland-resourc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for-children.europa.eu/system/files/2024-10/The-Lundy-model-of-child-participation.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www.togetherscotland.org.uk/resources-and-networks/state-of-childrens-rights-reports/"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9097c22-c108-45c9-9711-649fcb8d734e">
      <Terms xmlns="http://schemas.microsoft.com/office/infopath/2007/PartnerControls"/>
    </lcf76f155ced4ddcb4097134ff3c332f>
    <TaxCatchAll xmlns="25ccb901-815f-4c78-9662-858338c158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31205BF2D71B48A59BE11B80D410D7" ma:contentTypeVersion="15" ma:contentTypeDescription="Create a new document." ma:contentTypeScope="" ma:versionID="7bfb2a723588553fa10eb2dc08fd83be">
  <xsd:schema xmlns:xsd="http://www.w3.org/2001/XMLSchema" xmlns:xs="http://www.w3.org/2001/XMLSchema" xmlns:p="http://schemas.microsoft.com/office/2006/metadata/properties" xmlns:ns2="09097c22-c108-45c9-9711-649fcb8d734e" xmlns:ns3="25ccb901-815f-4c78-9662-858338c15881" xmlns:ns4="cab91360-db1c-4fb1-94f4-58fc1abbc762" targetNamespace="http://schemas.microsoft.com/office/2006/metadata/properties" ma:root="true" ma:fieldsID="27aecdd8fb5d558583083115bb045f52" ns2:_="" ns3:_="" ns4:_="">
    <xsd:import namespace="09097c22-c108-45c9-9711-649fcb8d734e"/>
    <xsd:import namespace="25ccb901-815f-4c78-9662-858338c15881"/>
    <xsd:import namespace="cab91360-db1c-4fb1-94f4-58fc1abbc7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97c22-c108-45c9-9711-649fcb8d7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af0794-0719-4605-b3ab-8d281f7f74d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ccb901-815f-4c78-9662-858338c158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bf4f52a-8b6f-4a6a-828d-7d89039dd4b2}" ma:internalName="TaxCatchAll" ma:showField="CatchAllData" ma:web="25ccb901-815f-4c78-9662-858338c158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b91360-db1c-4fb1-94f4-58fc1abbc76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BB3E2F-3DCC-48B9-B906-B0279FB00037}">
  <ds:schemaRefs>
    <ds:schemaRef ds:uri="http://schemas.microsoft.com/sharepoint/v3/contenttype/forms"/>
  </ds:schemaRefs>
</ds:datastoreItem>
</file>

<file path=customXml/itemProps2.xml><?xml version="1.0" encoding="utf-8"?>
<ds:datastoreItem xmlns:ds="http://schemas.openxmlformats.org/officeDocument/2006/customXml" ds:itemID="{FCA5199D-F96D-4137-9A76-B6B081076D48}">
  <ds:schemaRefs>
    <ds:schemaRef ds:uri="http://schemas.microsoft.com/office/2006/metadata/properties"/>
    <ds:schemaRef ds:uri="http://schemas.microsoft.com/office/infopath/2007/PartnerControls"/>
    <ds:schemaRef ds:uri="09097c22-c108-45c9-9711-649fcb8d734e"/>
    <ds:schemaRef ds:uri="25ccb901-815f-4c78-9662-858338c15881"/>
  </ds:schemaRefs>
</ds:datastoreItem>
</file>

<file path=customXml/itemProps3.xml><?xml version="1.0" encoding="utf-8"?>
<ds:datastoreItem xmlns:ds="http://schemas.openxmlformats.org/officeDocument/2006/customXml" ds:itemID="{EFE55E75-5198-4F81-B863-1B3AFE0E3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97c22-c108-45c9-9711-649fcb8d734e"/>
    <ds:schemaRef ds:uri="25ccb901-815f-4c78-9662-858338c15881"/>
    <ds:schemaRef ds:uri="cab91360-db1c-4fb1-94f4-58fc1abbc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1000</Words>
  <Characters>5705</Characters>
  <Application>Microsoft Office Word</Application>
  <DocSecurity>0</DocSecurity>
  <Lines>47</Lines>
  <Paragraphs>13</Paragraphs>
  <ScaleCrop>false</ScaleCrop>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Campbell</dc:creator>
  <cp:keywords/>
  <dc:description/>
  <cp:lastModifiedBy>Mary Campbell</cp:lastModifiedBy>
  <cp:revision>43</cp:revision>
  <dcterms:created xsi:type="dcterms:W3CDTF">2026-09-07T08:50:00Z</dcterms:created>
  <dcterms:modified xsi:type="dcterms:W3CDTF">2026-10-08T13:30:00Z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0x0101004431205BF2D71B48A59BE11B80D410D7</vt:lpwstr>
  </property>
  <property fmtid="{D5CDD505-2E9C-101B-9397-08002B2CF9AE}" pid="3" name="MediaServiceImageTags">
    <vt:lpwstr/>
  </property>
</Properties>
</file>