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3E2344" w:rsidR="007B6FD8" w:rsidP="00BD48FD" w:rsidRDefault="00394A00" w14:paraId="46099673" w14:textId="2A8492BB">
      <w:pPr>
        <w:pStyle w:val="Title"/>
        <w:rPr>
          <w:color w:val="156082" w:themeColor="accent1"/>
          <w:sz w:val="40"/>
          <w:szCs w:val="40"/>
        </w:rPr>
      </w:pPr>
      <w:r w:rsidRPr="00774BCD">
        <w:rPr>
          <w:rFonts w:asciiTheme="minorHAnsi" w:hAnsiTheme="minorHAnsi" w:cstheme="minorBidi"/>
          <w:noProof/>
          <w:sz w:val="28"/>
          <w:szCs w:val="28"/>
        </w:rPr>
        <w:drawing>
          <wp:anchor distT="0" distB="0" distL="114300" distR="114300" simplePos="0" relativeHeight="251663360" behindDoc="1" locked="0" layoutInCell="1" allowOverlap="1" wp14:anchorId="3AFDE3A1" wp14:editId="7432DCE2">
            <wp:simplePos x="0" y="0"/>
            <wp:positionH relativeFrom="column">
              <wp:posOffset>-771525</wp:posOffset>
            </wp:positionH>
            <wp:positionV relativeFrom="page">
              <wp:posOffset>1152525</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4931417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00B05FFE">
        <w:rPr>
          <w:noProof/>
          <w:color w:val="156082" w:themeColor="accent1"/>
          <w:sz w:val="48"/>
          <w:szCs w:val="48"/>
        </w:rPr>
        <mc:AlternateContent>
          <mc:Choice Requires="wps">
            <w:drawing>
              <wp:anchor distT="0" distB="0" distL="114300" distR="114300" simplePos="0" relativeHeight="251661312" behindDoc="1" locked="0" layoutInCell="1" allowOverlap="1" wp14:anchorId="3C89DAA1" wp14:editId="7C52D84B">
                <wp:simplePos x="0" y="0"/>
                <wp:positionH relativeFrom="margin">
                  <wp:align>center</wp:align>
                </wp:positionH>
                <wp:positionV relativeFrom="paragraph">
                  <wp:posOffset>-92075</wp:posOffset>
                </wp:positionV>
                <wp:extent cx="6648450" cy="8629650"/>
                <wp:effectExtent l="0" t="0" r="19050" b="19050"/>
                <wp:wrapNone/>
                <wp:docPr id="1309133861"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25pt;width:523.5pt;height:679.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08D95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">
                <w10:wrap anchorx="margin"/>
              </v:rect>
            </w:pict>
          </mc:Fallback>
        </mc:AlternateContent>
      </w:r>
      <w:r w:rsidRPr="003E2344" w:rsidR="00CC6392">
        <w:rPr>
          <w:color w:val="156082" w:themeColor="accent1"/>
          <w:sz w:val="40"/>
          <w:szCs w:val="40"/>
        </w:rPr>
        <w:t>Public Health Scotland: Children’s rights as part of a national approach to the prevention of substance use harm among children and young people</w:t>
      </w:r>
      <w:r w:rsidRPr="003E2344" w:rsidR="007B6FD8">
        <w:rPr>
          <w:color w:val="156082" w:themeColor="accent1"/>
          <w:sz w:val="40"/>
          <w:szCs w:val="40"/>
        </w:rPr>
        <w:t xml:space="preserve"> </w:t>
      </w:r>
    </w:p>
    <w:p w:rsidR="00BD48FD" w:rsidRDefault="00CC6392" w14:paraId="79632377" w14:textId="17B12F35">
      <w:r w:rsidRPr="00CC6392">
        <w:t>Public Health Scotland is Scotland’s lead national body for improving and protecting the health and wellbeing of Scotland’s population and is committed to improving outcomes for all children and young people.</w:t>
      </w:r>
    </w:p>
    <w:p w:rsidRPr="003E2344" w:rsidR="00BD48FD" w:rsidP="00BD48FD" w:rsidRDefault="007B6FD8" w14:paraId="26C462D4" w14:textId="77777777">
      <w:pPr>
        <w:pStyle w:val="Heading2"/>
        <w:rPr>
          <w:sz w:val="28"/>
          <w:szCs w:val="28"/>
        </w:rPr>
      </w:pPr>
      <w:r w:rsidRPr="003E2344">
        <w:rPr>
          <w:sz w:val="28"/>
          <w:szCs w:val="28"/>
        </w:rPr>
        <w:t xml:space="preserve">The issue or opportunity </w:t>
      </w:r>
    </w:p>
    <w:p w:rsidR="00E47866" w:rsidRDefault="00E47866" w14:paraId="2B78829B" w14:textId="77777777">
      <w:r w:rsidRPr="00E47866">
        <w:t xml:space="preserve">In 2025 Public Health Scotland published its consensus statement – ‘prevention of substance use harm among children and young people’. The statement describes the process undertaken and findings as part of work to develop an agreed whole-systems approach to substance use harm prevention among children and young people in Scotland. </w:t>
      </w:r>
    </w:p>
    <w:p w:rsidR="00BD48FD" w:rsidRDefault="00E47866" w14:paraId="62FCA016" w14:textId="7F95A8C5">
      <w:r w:rsidRPr="00E47866">
        <w:t>Scotland has existing public health commitments to reduce substance use harms from alcohol, drugs, tobacco, nicotine products, e-cigarettes and vapes. However, currently there is no overarching national approach to address the complex area of substance use harm prevention for children and young people. Public Health Scotland were consequently commissioned to deliver this development work on behalf of the Scottish Government.</w:t>
      </w:r>
    </w:p>
    <w:p w:rsidRPr="003E2344" w:rsidR="00BD48FD" w:rsidP="00BD48FD" w:rsidRDefault="007B6FD8" w14:paraId="7363071F" w14:textId="77777777">
      <w:pPr>
        <w:pStyle w:val="Heading2"/>
        <w:rPr>
          <w:sz w:val="28"/>
          <w:szCs w:val="28"/>
        </w:rPr>
      </w:pPr>
      <w:r w:rsidRPr="003E2344">
        <w:rPr>
          <w:sz w:val="28"/>
          <w:szCs w:val="28"/>
        </w:rPr>
        <w:t xml:space="preserve">What was done </w:t>
      </w:r>
    </w:p>
    <w:p w:rsidR="00E47866" w:rsidRDefault="00E47866" w14:paraId="09831A37" w14:textId="77777777">
      <w:r w:rsidRPr="00E47866">
        <w:t xml:space="preserve">To establish consensus, Public Health Scotland used the Delphi method. This is a multi-stage stakeholder-led process that supports the development of consensus on a particular topic. It does this by bringing together and engaging with a panel of people with relevant experience and expertise. The approach involves multiple rounds of engagement; the first is an open discussion on a range of key questions, from which main themes or statements are extracted. The second, and subsequent rounds, consists of presenting outputs from findings of the previous round to the expert panel and asking them to consider areas of agreement. </w:t>
      </w:r>
    </w:p>
    <w:p w:rsidR="00E47866" w:rsidRDefault="00E47866" w14:paraId="356D9381" w14:textId="77777777">
      <w:r w:rsidRPr="00E47866">
        <w:t xml:space="preserve">Children and young people’s participation was key in the development of the consensus, and they were included as panel members with equal weight to professional stakeholders. Specialist youth partners including Young Scot, Fast Forward and </w:t>
      </w:r>
      <w:proofErr w:type="spellStart"/>
      <w:r w:rsidRPr="00E47866">
        <w:t>YouthLink</w:t>
      </w:r>
      <w:proofErr w:type="spellEnd"/>
      <w:r w:rsidRPr="00E47866">
        <w:t xml:space="preserve"> Scotland facilitated work with young people to identify how they would like to be engaged with in the consensus approach. Children and young people’s participation in the development of the consensus allows their voices to shape national policy and direction at the earliest stage in contrast to at a consultation stage. </w:t>
      </w:r>
    </w:p>
    <w:p w:rsidR="00394A00" w:rsidRDefault="00394A00" w14:paraId="58CA8DFC" w14:textId="77777777">
      <w:r>
        <w:br w:type="page"/>
      </w:r>
    </w:p>
    <w:p w:rsidR="00BD48FD" w:rsidRDefault="00394A00" w14:paraId="74EA7F48" w14:textId="41B9792E">
      <w:r w:rsidRPr="00774BCD">
        <w:rPr>
          <w:noProof/>
          <w:sz w:val="28"/>
          <w:szCs w:val="28"/>
        </w:rPr>
        <w:lastRenderedPageBreak/>
        <w:drawing>
          <wp:anchor distT="0" distB="0" distL="114300" distR="114300" simplePos="0" relativeHeight="251665408" behindDoc="1" locked="0" layoutInCell="1" allowOverlap="1" wp14:anchorId="73C90751" wp14:editId="2F3BEAAB">
            <wp:simplePos x="0" y="0"/>
            <wp:positionH relativeFrom="column">
              <wp:posOffset>-762000</wp:posOffset>
            </wp:positionH>
            <wp:positionV relativeFrom="page">
              <wp:posOffset>1162050</wp:posOffset>
            </wp:positionV>
            <wp:extent cx="1000125" cy="260985"/>
            <wp:effectExtent l="7620" t="0" r="0" b="0"/>
            <wp:wrapTight wrapText="bothSides">
              <wp:wrapPolygon edited="0">
                <wp:start x="21435" y="946"/>
                <wp:lineTo x="21024" y="946"/>
                <wp:lineTo x="14853" y="-631"/>
                <wp:lineTo x="1275" y="-631"/>
                <wp:lineTo x="453" y="946"/>
                <wp:lineTo x="453" y="13559"/>
                <wp:lineTo x="1687" y="18289"/>
                <wp:lineTo x="14853" y="19866"/>
                <wp:lineTo x="21435" y="19866"/>
                <wp:lineTo x="21435" y="946"/>
              </wp:wrapPolygon>
            </wp:wrapTight>
            <wp:docPr id="15648718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1000125" cy="260985"/>
                    </a:xfrm>
                    <a:prstGeom prst="rect">
                      <a:avLst/>
                    </a:prstGeom>
                    <a:noFill/>
                    <a:ln>
                      <a:noFill/>
                    </a:ln>
                  </pic:spPr>
                </pic:pic>
              </a:graphicData>
            </a:graphic>
          </wp:anchor>
        </w:drawing>
      </w:r>
      <w:r w:rsidRPr="00E47866" w:rsidR="00E47866">
        <w:t xml:space="preserve">Through the Delphi process it was unanimously agreed that Scotland should have a national substance use harm prevention strategy for children and young people and </w:t>
      </w:r>
      <w:r w:rsidR="00B05FFE">
        <w:rPr>
          <w:noProof/>
          <w:color w:val="156082" w:themeColor="accent1"/>
          <w:sz w:val="48"/>
          <w:szCs w:val="48"/>
        </w:rPr>
        <mc:AlternateContent>
          <mc:Choice Requires="wps">
            <w:drawing>
              <wp:anchor distT="0" distB="0" distL="114300" distR="114300" simplePos="0" relativeHeight="251659264" behindDoc="1" locked="0" layoutInCell="1" allowOverlap="1" wp14:anchorId="2EC90F98" wp14:editId="2A953617">
                <wp:simplePos x="0" y="0"/>
                <wp:positionH relativeFrom="margin">
                  <wp:align>center</wp:align>
                </wp:positionH>
                <wp:positionV relativeFrom="paragraph">
                  <wp:posOffset>-94615</wp:posOffset>
                </wp:positionV>
                <wp:extent cx="6648450" cy="8629650"/>
                <wp:effectExtent l="0" t="0" r="19050" b="19050"/>
                <wp:wrapNone/>
                <wp:docPr id="1853283983" name="Rectangle 4"/>
                <wp:cNvGraphicFramePr/>
                <a:graphic xmlns:a="http://schemas.openxmlformats.org/drawingml/2006/main">
                  <a:graphicData uri="http://schemas.microsoft.com/office/word/2010/wordprocessingShape">
                    <wps:wsp>
                      <wps:cNvSpPr/>
                      <wps:spPr>
                        <a:xfrm>
                          <a:off x="0" y="0"/>
                          <a:ext cx="6648450" cy="8629650"/>
                        </a:xfrm>
                        <a:prstGeom prst="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margin-left:0;margin-top:-7.45pt;width:523.5pt;height:679.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fillcolor="white [3201]" strokecolor="#156082 [3204]" strokeweight="1.5pt" w14:anchorId="646EE7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">
                <w10:wrap anchorx="margin"/>
              </v:rect>
            </w:pict>
          </mc:Fallback>
        </mc:AlternateContent>
      </w:r>
      <w:r w:rsidRPr="00E47866" w:rsidR="00E47866">
        <w:t xml:space="preserve">that the strategy should align to Getting It Right </w:t>
      </w:r>
      <w:proofErr w:type="gramStart"/>
      <w:r w:rsidRPr="00E47866" w:rsidR="00E47866">
        <w:t>For</w:t>
      </w:r>
      <w:proofErr w:type="gramEnd"/>
      <w:r w:rsidRPr="00E47866" w:rsidR="00E47866">
        <w:t xml:space="preserve"> Every Child (GIRFEC), UNCRC and the Children and Young People (Scotland) Act 2014. It also recognised the need to involve children and young people in the development and implementation of prevention strategies and approaches from the outset. This ensures that Children’s Rights are at the forefront of a national prevention strategy and provides a foundation for children and young people to be involved in the planning and delivery of national and local prevention strategies.</w:t>
      </w:r>
      <w:r w:rsidRPr="007B6FD8" w:rsidR="007B6FD8">
        <w:t xml:space="preserve"> </w:t>
      </w:r>
    </w:p>
    <w:p w:rsidRPr="003E2344" w:rsidR="00BD48FD" w:rsidP="00BD48FD" w:rsidRDefault="007B6FD8" w14:paraId="250F4888" w14:textId="118CBC44">
      <w:pPr>
        <w:pStyle w:val="Heading2"/>
        <w:rPr>
          <w:sz w:val="28"/>
          <w:szCs w:val="28"/>
        </w:rPr>
      </w:pPr>
      <w:r w:rsidRPr="003E2344">
        <w:rPr>
          <w:sz w:val="28"/>
          <w:szCs w:val="28"/>
        </w:rPr>
        <w:t xml:space="preserve">Next steps </w:t>
      </w:r>
    </w:p>
    <w:p w:rsidR="00BD48FD" w:rsidRDefault="009D7FAF" w14:paraId="51361A86" w14:textId="67E31561">
      <w:r w:rsidRPr="009D7FAF">
        <w:t xml:space="preserve">Public Health Scotland is continuing to build on work started by development of the consensus statement. Public Health Scotland are linking with colleagues in health and local authorities to include prevention of substance use harm for children and young people within service and commissioning plans. The aim is that the consensus statement can be used by children and young people as a lever for their inclusion in the development of local prevention activity. Furthermore, the consensus statement can also be used to reflect where prevention planning and activity does not use a children’s human rights-based approach to the fullest. </w:t>
      </w:r>
    </w:p>
    <w:p w:rsidRPr="003E2344" w:rsidR="00BD48FD" w:rsidP="00BD48FD" w:rsidRDefault="007B6FD8" w14:paraId="72A1F0CC" w14:textId="77777777">
      <w:pPr>
        <w:pStyle w:val="Heading2"/>
        <w:rPr>
          <w:sz w:val="28"/>
          <w:szCs w:val="28"/>
        </w:rPr>
      </w:pPr>
      <w:r w:rsidRPr="003E2344">
        <w:rPr>
          <w:sz w:val="28"/>
          <w:szCs w:val="28"/>
        </w:rPr>
        <w:t xml:space="preserve">Children’s human rights approach principles in practice </w:t>
      </w:r>
    </w:p>
    <w:p w:rsidR="000B2127" w:rsidP="009D7FAF" w:rsidRDefault="009D7FAF" w14:paraId="73D6A615" w14:textId="63900426">
      <w:r w:rsidRPr="009D7FAF">
        <w:t>Public Health Scotland’s work to develop consensus with children and young people supports accountability by being transparent about decision making and sharing information so children and young people can influence and challenge decisions.</w:t>
      </w:r>
    </w:p>
    <w:sectPr w:rsidR="000B2127">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050A" w:rsidP="003E2344" w:rsidRDefault="009E050A" w14:paraId="4923B310" w14:textId="77777777">
      <w:pPr>
        <w:spacing w:after="0" w:line="240" w:lineRule="auto"/>
      </w:pPr>
      <w:r>
        <w:separator/>
      </w:r>
    </w:p>
  </w:endnote>
  <w:endnote w:type="continuationSeparator" w:id="0">
    <w:p w:rsidR="009E050A" w:rsidP="003E2344" w:rsidRDefault="009E050A" w14:paraId="0B5D222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7656" w:rsidP="005B7656" w:rsidRDefault="005B7656" w14:paraId="1B84A155"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Registered Office:</w:t>
    </w:r>
  </w:p>
  <w:p w:rsidRPr="00A231AA" w:rsidR="005B7656" w:rsidP="005B7656" w:rsidRDefault="005B7656" w14:paraId="4A2DEAA8" w14:textId="77777777">
    <w:pPr>
      <w:pStyle w:val="Footer"/>
      <w:jc w:val="center"/>
      <w:rPr>
        <w:rFonts w:ascii="Calibri" w:hAnsi="Calibri"/>
        <w:color w:val="A6A6A6" w:themeColor="background1" w:themeShade="A6"/>
        <w:sz w:val="18"/>
        <w:szCs w:val="18"/>
      </w:rPr>
    </w:pPr>
    <w:r w:rsidRPr="00A231AA">
      <w:rPr>
        <w:rFonts w:ascii="Calibri" w:hAnsi="Calibri"/>
        <w:color w:val="A6A6A6" w:themeColor="background1" w:themeShade="A6"/>
        <w:sz w:val="18"/>
        <w:szCs w:val="18"/>
      </w:rPr>
      <w:t xml:space="preserve">Together </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Scottish Alliance for Children’s Rights</w:t>
    </w:r>
    <w:r>
      <w:rPr>
        <w:rFonts w:ascii="Calibri" w:hAnsi="Calibri"/>
        <w:color w:val="A6A6A6" w:themeColor="background1" w:themeShade="A6"/>
        <w:sz w:val="18"/>
        <w:szCs w:val="18"/>
      </w:rPr>
      <w:t>)</w:t>
    </w:r>
    <w:r w:rsidRPr="00A231AA">
      <w:rPr>
        <w:rFonts w:ascii="Calibri" w:hAnsi="Calibri"/>
        <w:color w:val="A6A6A6" w:themeColor="background1" w:themeShade="A6"/>
        <w:sz w:val="18"/>
        <w:szCs w:val="18"/>
      </w:rPr>
      <w:t xml:space="preserve">, </w:t>
    </w:r>
    <w:r>
      <w:rPr>
        <w:rFonts w:ascii="Calibri" w:hAnsi="Calibri"/>
        <w:color w:val="A6A6A6" w:themeColor="background1" w:themeShade="A6"/>
        <w:sz w:val="18"/>
        <w:szCs w:val="18"/>
      </w:rPr>
      <w:t>The Melting Pot, 15 Calton Road, Edinburgh, EH8 8DL</w:t>
    </w:r>
  </w:p>
  <w:p w:rsidR="003E2344" w:rsidP="005B7656" w:rsidRDefault="005B7656" w14:paraId="7AF36518" w14:textId="2E5989CE">
    <w:pPr>
      <w:pStyle w:val="Footer"/>
      <w:jc w:val="center"/>
    </w:pPr>
    <w:r w:rsidRPr="004A2026">
      <w:rPr>
        <w:rFonts w:ascii="Calibri" w:hAnsi="Calibri"/>
        <w:color w:val="A6A6A6" w:themeColor="background1" w:themeShade="A6"/>
        <w:sz w:val="18"/>
        <w:szCs w:val="18"/>
      </w:rPr>
      <w:t xml:space="preserve">Scottish Charitable Incorporated Organisation </w:t>
    </w:r>
    <w:r>
      <w:rPr>
        <w:rFonts w:ascii="Calibri" w:hAnsi="Calibri"/>
        <w:color w:val="A6A6A6" w:themeColor="background1" w:themeShade="A6"/>
        <w:sz w:val="18"/>
        <w:szCs w:val="18"/>
      </w:rPr>
      <w:t xml:space="preserve">(SCIO), </w:t>
    </w:r>
    <w:r w:rsidRPr="00A231AA">
      <w:rPr>
        <w:rFonts w:ascii="Calibri" w:hAnsi="Calibri"/>
        <w:color w:val="A6A6A6" w:themeColor="background1" w:themeShade="A6"/>
        <w:sz w:val="18"/>
        <w:szCs w:val="18"/>
      </w:rPr>
      <w:t>Charity Reg No. SC</w:t>
    </w:r>
    <w:r>
      <w:rPr>
        <w:rFonts w:ascii="Calibri" w:hAnsi="Calibri"/>
        <w:color w:val="A6A6A6" w:themeColor="background1" w:themeShade="A6"/>
        <w:sz w:val="18"/>
        <w:szCs w:val="18"/>
      </w:rPr>
      <w:t>0</w:t>
    </w:r>
    <w:r w:rsidRPr="00A231AA">
      <w:rPr>
        <w:rFonts w:ascii="Calibri" w:hAnsi="Calibri"/>
        <w:color w:val="A6A6A6" w:themeColor="background1" w:themeShade="A6"/>
        <w:sz w:val="18"/>
        <w:szCs w:val="18"/>
      </w:rPr>
      <w:t>29403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050A" w:rsidP="003E2344" w:rsidRDefault="009E050A" w14:paraId="0DF6260B" w14:textId="77777777">
      <w:pPr>
        <w:spacing w:after="0" w:line="240" w:lineRule="auto"/>
      </w:pPr>
      <w:r>
        <w:separator/>
      </w:r>
    </w:p>
  </w:footnote>
  <w:footnote w:type="continuationSeparator" w:id="0">
    <w:p w:rsidR="009E050A" w:rsidP="003E2344" w:rsidRDefault="009E050A" w14:paraId="19A6AC9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162BB" w:rsidP="00A162BB" w:rsidRDefault="00A162BB" w14:paraId="31092728" w14:textId="6DFE897C">
    <w:pPr>
      <w:pStyle w:val="Header"/>
    </w:pPr>
    <w:r>
      <w:rPr>
        <w:noProof/>
      </w:rPr>
      <w:drawing>
        <wp:anchor distT="0" distB="0" distL="114300" distR="114300" simplePos="0" relativeHeight="251659264" behindDoc="1" locked="0" layoutInCell="1" allowOverlap="1" wp14:anchorId="41ADA954" wp14:editId="3E45C1F3">
          <wp:simplePos x="0" y="0"/>
          <wp:positionH relativeFrom="column">
            <wp:posOffset>5533390</wp:posOffset>
          </wp:positionH>
          <wp:positionV relativeFrom="paragraph">
            <wp:posOffset>-306705</wp:posOffset>
          </wp:positionV>
          <wp:extent cx="768985" cy="768985"/>
          <wp:effectExtent l="0" t="0" r="0" b="0"/>
          <wp:wrapTight wrapText="bothSides">
            <wp:wrapPolygon edited="0">
              <wp:start x="0" y="0"/>
              <wp:lineTo x="0" y="20869"/>
              <wp:lineTo x="20869" y="20869"/>
              <wp:lineTo x="20869" y="0"/>
              <wp:lineTo x="0" y="0"/>
            </wp:wrapPolygon>
          </wp:wrapTight>
          <wp:docPr id="3305552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555200" name="Picture 330555200"/>
                  <pic:cNvPicPr/>
                </pic:nvPicPr>
                <pic:blipFill>
                  <a:blip r:embed="rId1">
                    <a:extLst>
                      <a:ext uri="{28A0092B-C50C-407E-A947-70E740481C1C}">
                        <a14:useLocalDpi xmlns:a14="http://schemas.microsoft.com/office/drawing/2010/main" val="0"/>
                      </a:ext>
                    </a:extLst>
                  </a:blip>
                  <a:stretch>
                    <a:fillRect/>
                  </a:stretch>
                </pic:blipFill>
                <pic:spPr>
                  <a:xfrm>
                    <a:off x="0" y="0"/>
                    <a:ext cx="768985" cy="768985"/>
                  </a:xfrm>
                  <a:prstGeom prst="rect">
                    <a:avLst/>
                  </a:prstGeom>
                </pic:spPr>
              </pic:pic>
            </a:graphicData>
          </a:graphic>
          <wp14:sizeRelH relativeFrom="margin">
            <wp14:pctWidth>0</wp14:pctWidth>
          </wp14:sizeRelH>
          <wp14:sizeRelV relativeFrom="margin">
            <wp14:pctHeight>0</wp14:pctHeight>
          </wp14:sizeRelV>
        </wp:anchor>
      </w:drawing>
    </w:r>
    <w:r w:rsidRPr="00913BCA">
      <w:t xml:space="preserve">This case study comes from Together (Scottish Alliance for Children’s Rights) 2026 </w:t>
    </w:r>
  </w:p>
  <w:p w:rsidR="003E2344" w:rsidP="00A162BB" w:rsidRDefault="00A162BB" w14:paraId="42FE4030" w14:textId="24DABBD1">
    <w:pPr>
      <w:pStyle w:val="Header"/>
      <w:tabs>
        <w:tab w:val="clear" w:pos="4513"/>
        <w:tab w:val="clear" w:pos="9026"/>
        <w:tab w:val="left" w:pos="5700"/>
      </w:tabs>
    </w:pPr>
    <w:hyperlink r:id="R6723818e0d0c4e73">
      <w:r w:rsidRPr="5EE6BBF5" w:rsidR="5EE6BBF5">
        <w:rPr>
          <w:rStyle w:val="Hyperlink"/>
        </w:rPr>
        <w:t>State of Children’s Rights Report</w:t>
      </w:r>
    </w:hyperlink>
    <w:r>
      <w:tab/>
    </w:r>
  </w:p>
  <w:p w:rsidR="003E2344" w:rsidRDefault="003E2344" w14:paraId="7C32AE0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BD4"/>
    <w:rsid w:val="00037947"/>
    <w:rsid w:val="000B2127"/>
    <w:rsid w:val="00213648"/>
    <w:rsid w:val="00394A00"/>
    <w:rsid w:val="003E2344"/>
    <w:rsid w:val="005B7656"/>
    <w:rsid w:val="00645396"/>
    <w:rsid w:val="007B6FD8"/>
    <w:rsid w:val="009D7FAF"/>
    <w:rsid w:val="009E050A"/>
    <w:rsid w:val="00A162BB"/>
    <w:rsid w:val="00A35C58"/>
    <w:rsid w:val="00AE1BD4"/>
    <w:rsid w:val="00B03204"/>
    <w:rsid w:val="00B05FFE"/>
    <w:rsid w:val="00BD48FD"/>
    <w:rsid w:val="00C57CB5"/>
    <w:rsid w:val="00C643D6"/>
    <w:rsid w:val="00C95518"/>
    <w:rsid w:val="00CC6392"/>
    <w:rsid w:val="00E47866"/>
    <w:rsid w:val="00F363A3"/>
    <w:rsid w:val="5EE6B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2F03"/>
  <w15:chartTrackingRefBased/>
  <w15:docId w15:val="{D031D121-2E7E-4C47-8B2A-C5448F586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E1BD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E1BD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1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1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1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1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BD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E1BD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AE1BD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E1BD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E1BD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E1BD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E1BD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E1BD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E1BD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E1BD4"/>
    <w:rPr>
      <w:rFonts w:eastAsiaTheme="majorEastAsia" w:cstheme="majorBidi"/>
      <w:color w:val="272727" w:themeColor="text1" w:themeTint="D8"/>
    </w:rPr>
  </w:style>
  <w:style w:type="paragraph" w:styleId="Title">
    <w:name w:val="Title"/>
    <w:basedOn w:val="Normal"/>
    <w:next w:val="Normal"/>
    <w:link w:val="TitleChar"/>
    <w:uiPriority w:val="10"/>
    <w:qFormat/>
    <w:rsid w:val="00AE1BD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E1BD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E1BD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E1B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BD4"/>
    <w:pPr>
      <w:spacing w:before="160"/>
      <w:jc w:val="center"/>
    </w:pPr>
    <w:rPr>
      <w:i/>
      <w:iCs/>
      <w:color w:val="404040" w:themeColor="text1" w:themeTint="BF"/>
    </w:rPr>
  </w:style>
  <w:style w:type="character" w:styleId="QuoteChar" w:customStyle="1">
    <w:name w:val="Quote Char"/>
    <w:basedOn w:val="DefaultParagraphFont"/>
    <w:link w:val="Quote"/>
    <w:uiPriority w:val="29"/>
    <w:rsid w:val="00AE1BD4"/>
    <w:rPr>
      <w:i/>
      <w:iCs/>
      <w:color w:val="404040" w:themeColor="text1" w:themeTint="BF"/>
    </w:rPr>
  </w:style>
  <w:style w:type="paragraph" w:styleId="ListParagraph">
    <w:name w:val="List Paragraph"/>
    <w:basedOn w:val="Normal"/>
    <w:uiPriority w:val="34"/>
    <w:qFormat/>
    <w:rsid w:val="00AE1BD4"/>
    <w:pPr>
      <w:ind w:left="720"/>
      <w:contextualSpacing/>
    </w:pPr>
  </w:style>
  <w:style w:type="character" w:styleId="IntenseEmphasis">
    <w:name w:val="Intense Emphasis"/>
    <w:basedOn w:val="DefaultParagraphFont"/>
    <w:uiPriority w:val="21"/>
    <w:qFormat/>
    <w:rsid w:val="00AE1BD4"/>
    <w:rPr>
      <w:i/>
      <w:iCs/>
      <w:color w:val="0F4761" w:themeColor="accent1" w:themeShade="BF"/>
    </w:rPr>
  </w:style>
  <w:style w:type="paragraph" w:styleId="IntenseQuote">
    <w:name w:val="Intense Quote"/>
    <w:basedOn w:val="Normal"/>
    <w:next w:val="Normal"/>
    <w:link w:val="IntenseQuoteChar"/>
    <w:uiPriority w:val="30"/>
    <w:qFormat/>
    <w:rsid w:val="00AE1BD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E1BD4"/>
    <w:rPr>
      <w:i/>
      <w:iCs/>
      <w:color w:val="0F4761" w:themeColor="accent1" w:themeShade="BF"/>
    </w:rPr>
  </w:style>
  <w:style w:type="character" w:styleId="IntenseReference">
    <w:name w:val="Intense Reference"/>
    <w:basedOn w:val="DefaultParagraphFont"/>
    <w:uiPriority w:val="32"/>
    <w:qFormat/>
    <w:rsid w:val="00AE1BD4"/>
    <w:rPr>
      <w:b/>
      <w:bCs/>
      <w:smallCaps/>
      <w:color w:val="0F4761" w:themeColor="accent1" w:themeShade="BF"/>
      <w:spacing w:val="5"/>
    </w:rPr>
  </w:style>
  <w:style w:type="paragraph" w:styleId="Header">
    <w:name w:val="header"/>
    <w:basedOn w:val="Normal"/>
    <w:link w:val="HeaderChar"/>
    <w:uiPriority w:val="99"/>
    <w:unhideWhenUsed/>
    <w:rsid w:val="003E2344"/>
    <w:pPr>
      <w:tabs>
        <w:tab w:val="center" w:pos="4513"/>
        <w:tab w:val="right" w:pos="9026"/>
      </w:tabs>
      <w:spacing w:after="0" w:line="240" w:lineRule="auto"/>
    </w:pPr>
  </w:style>
  <w:style w:type="character" w:styleId="HeaderChar" w:customStyle="1">
    <w:name w:val="Header Char"/>
    <w:basedOn w:val="DefaultParagraphFont"/>
    <w:link w:val="Header"/>
    <w:uiPriority w:val="99"/>
    <w:rsid w:val="003E2344"/>
  </w:style>
  <w:style w:type="paragraph" w:styleId="Footer">
    <w:name w:val="footer"/>
    <w:basedOn w:val="Normal"/>
    <w:link w:val="FooterChar"/>
    <w:uiPriority w:val="99"/>
    <w:unhideWhenUsed/>
    <w:rsid w:val="003E2344"/>
    <w:pPr>
      <w:tabs>
        <w:tab w:val="center" w:pos="4513"/>
        <w:tab w:val="right" w:pos="9026"/>
      </w:tabs>
      <w:spacing w:after="0" w:line="240" w:lineRule="auto"/>
    </w:pPr>
  </w:style>
  <w:style w:type="character" w:styleId="FooterChar" w:customStyle="1">
    <w:name w:val="Footer Char"/>
    <w:basedOn w:val="DefaultParagraphFont"/>
    <w:link w:val="Footer"/>
    <w:uiPriority w:val="99"/>
    <w:rsid w:val="003E2344"/>
  </w:style>
  <w:style w:type="character" w:styleId="Hyperlink">
    <w:name w:val="Hyperlink"/>
    <w:basedOn w:val="DefaultParagraphFont"/>
    <w:uiPriority w:val="99"/>
    <w:unhideWhenUsed/>
    <w:rsid w:val="00A162B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image" Target="media/image1.png" Id="rId9" /></Relationships>
</file>

<file path=word/_rels/header1.xml.rels>&#65279;<?xml version="1.0" encoding="utf-8"?><Relationships xmlns="http://schemas.openxmlformats.org/package/2006/relationships"><Relationship Type="http://schemas.openxmlformats.org/officeDocument/2006/relationships/image" Target="media/image2.jpeg" Id="rId1" /><Relationship Type="http://schemas.openxmlformats.org/officeDocument/2006/relationships/hyperlink" Target="https://www.togetherscotland.org.uk/resources-and-networks/state-of-childrens-rights-reports/" TargetMode="External" Id="R6723818e0d0c4e7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097c22-c108-45c9-9711-649fcb8d734e">
      <Terms xmlns="http://schemas.microsoft.com/office/infopath/2007/PartnerControls"/>
    </lcf76f155ced4ddcb4097134ff3c332f>
    <TaxCatchAll xmlns="25ccb901-815f-4c78-9662-858338c158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31205BF2D71B48A59BE11B80D410D7" ma:contentTypeVersion="15" ma:contentTypeDescription="Create a new document." ma:contentTypeScope="" ma:versionID="7bfb2a723588553fa10eb2dc08fd83be">
  <xsd:schema xmlns:xsd="http://www.w3.org/2001/XMLSchema" xmlns:xs="http://www.w3.org/2001/XMLSchema" xmlns:p="http://schemas.microsoft.com/office/2006/metadata/properties" xmlns:ns2="09097c22-c108-45c9-9711-649fcb8d734e" xmlns:ns3="25ccb901-815f-4c78-9662-858338c15881" xmlns:ns4="cab91360-db1c-4fb1-94f4-58fc1abbc762" targetNamespace="http://schemas.microsoft.com/office/2006/metadata/properties" ma:root="true" ma:fieldsID="27aecdd8fb5d558583083115bb045f52" ns2:_="" ns3:_="" ns4:_="">
    <xsd:import namespace="09097c22-c108-45c9-9711-649fcb8d734e"/>
    <xsd:import namespace="25ccb901-815f-4c78-9662-858338c15881"/>
    <xsd:import namespace="cab91360-db1c-4fb1-94f4-58fc1abbc7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097c22-c108-45c9-9711-649fcb8d7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1af0794-0719-4605-b3ab-8d281f7f74d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5ccb901-815f-4c78-9662-858338c1588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bf4f52a-8b6f-4a6a-828d-7d89039dd4b2}" ma:internalName="TaxCatchAll" ma:showField="CatchAllData" ma:web="25ccb901-815f-4c78-9662-858338c158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ab91360-db1c-4fb1-94f4-58fc1abbc762"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199D-F96D-4137-9A76-B6B081076D48}">
  <ds:schemaRefs>
    <ds:schemaRef ds:uri="http://schemas.microsoft.com/office/2006/metadata/properties"/>
    <ds:schemaRef ds:uri="http://schemas.microsoft.com/office/infopath/2007/PartnerControls"/>
    <ds:schemaRef ds:uri="09097c22-c108-45c9-9711-649fcb8d734e"/>
    <ds:schemaRef ds:uri="25ccb901-815f-4c78-9662-858338c15881"/>
  </ds:schemaRefs>
</ds:datastoreItem>
</file>

<file path=customXml/itemProps2.xml><?xml version="1.0" encoding="utf-8"?>
<ds:datastoreItem xmlns:ds="http://schemas.openxmlformats.org/officeDocument/2006/customXml" ds:itemID="{94BB3E2F-3DCC-48B9-B906-B0279FB00037}">
  <ds:schemaRefs>
    <ds:schemaRef ds:uri="http://schemas.microsoft.com/sharepoint/v3/contenttype/forms"/>
  </ds:schemaRefs>
</ds:datastoreItem>
</file>

<file path=customXml/itemProps3.xml><?xml version="1.0" encoding="utf-8"?>
<ds:datastoreItem xmlns:ds="http://schemas.openxmlformats.org/officeDocument/2006/customXml" ds:itemID="{EFE55E75-5198-4F81-B863-1B3AFE0E3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097c22-c108-45c9-9711-649fcb8d734e"/>
    <ds:schemaRef ds:uri="25ccb901-815f-4c78-9662-858338c15881"/>
    <ds:schemaRef ds:uri="cab91360-db1c-4fb1-94f4-58fc1abbc7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Mary Campbell</dc:creator>
  <keywords/>
  <dc:description/>
  <lastModifiedBy>Christina Yuen</lastModifiedBy>
  <revision>18</revision>
  <dcterms:created xsi:type="dcterms:W3CDTF">2026-09-07T08:50:00.0000000Z</dcterms:created>
  <dcterms:modified xsi:type="dcterms:W3CDTF">2026-09-14T15:50:34.9517299Z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0x0101004431205BF2D71B48A59BE11B80D410D7</vt:lpwstr>
  </property>
  <property fmtid="{D5CDD505-2E9C-101B-9397-08002B2CF9AE}" pid="3" name="MediaServiceImageTags">
    <vt:lpwstr/>
  </property>
</Properties>
</file>